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60" w:rsidRPr="009C4CF1" w:rsidRDefault="00755660" w:rsidP="009C4CF1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55660" w:rsidRPr="009C4CF1" w:rsidRDefault="00755660" w:rsidP="009C4CF1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9C4CF1">
        <w:rPr>
          <w:rFonts w:ascii="Times New Roman" w:eastAsia="Times New Roman" w:hAnsi="Times New Roman" w:cs="Times New Roman"/>
          <w:b/>
          <w:sz w:val="24"/>
          <w:szCs w:val="24"/>
        </w:rPr>
        <w:t xml:space="preserve">NỘI DUNG </w:t>
      </w:r>
      <w:r w:rsidRPr="009C4CF1">
        <w:rPr>
          <w:rFonts w:ascii="Times New Roman" w:hAnsi="Times New Roman" w:cs="Times New Roman"/>
          <w:b/>
          <w:sz w:val="24"/>
          <w:szCs w:val="24"/>
        </w:rPr>
        <w:t xml:space="preserve">MA TRẬN KIỂM TRA GIỮA KÌ </w:t>
      </w:r>
      <w:r w:rsidR="006F2B6E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9C4CF1">
        <w:rPr>
          <w:rFonts w:ascii="Times New Roman" w:hAnsi="Times New Roman" w:cs="Times New Roman"/>
          <w:b/>
          <w:sz w:val="24"/>
          <w:szCs w:val="24"/>
        </w:rPr>
        <w:t>I - MÔN SINH HỌ</w:t>
      </w:r>
      <w:r w:rsidR="00217FC4" w:rsidRPr="009C4CF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9C4CF1">
        <w:rPr>
          <w:rFonts w:ascii="Times New Roman" w:hAnsi="Times New Roman" w:cs="Times New Roman"/>
          <w:b/>
          <w:sz w:val="24"/>
          <w:szCs w:val="24"/>
        </w:rPr>
        <w:t>1</w:t>
      </w:r>
      <w:r w:rsidR="00476470" w:rsidRPr="009C4CF1">
        <w:rPr>
          <w:rFonts w:ascii="Times New Roman" w:hAnsi="Times New Roman" w:cs="Times New Roman"/>
          <w:b/>
          <w:sz w:val="24"/>
          <w:szCs w:val="24"/>
        </w:rPr>
        <w:t>1</w:t>
      </w:r>
    </w:p>
    <w:p w:rsidR="00755660" w:rsidRPr="009C4CF1" w:rsidRDefault="00755660" w:rsidP="009C4CF1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:rsidR="00755660" w:rsidRPr="009C4CF1" w:rsidRDefault="00755660" w:rsidP="009C4CF1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="00476470" w:rsidRPr="009C4CF1">
        <w:rPr>
          <w:rFonts w:ascii="Times New Roman" w:hAnsi="Times New Roman" w:cs="Times New Roman"/>
          <w:b/>
          <w:sz w:val="24"/>
          <w:szCs w:val="24"/>
        </w:rPr>
        <w:t>8</w:t>
      </w:r>
      <w:r w:rsidRPr="009C4CF1">
        <w:rPr>
          <w:rFonts w:ascii="Times New Roman" w:hAnsi="Times New Roman" w:cs="Times New Roman"/>
          <w:b/>
          <w:sz w:val="24"/>
          <w:szCs w:val="24"/>
        </w:rPr>
        <w:t>0% TRẮC NGHIỆM</w:t>
      </w:r>
      <w:r w:rsidR="00476470" w:rsidRPr="009C4CF1">
        <w:rPr>
          <w:rFonts w:ascii="Times New Roman" w:hAnsi="Times New Roman" w:cs="Times New Roman"/>
          <w:b/>
          <w:sz w:val="24"/>
          <w:szCs w:val="24"/>
        </w:rPr>
        <w:t xml:space="preserve"> – 20% TỰ LUẬN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718"/>
        <w:gridCol w:w="9010"/>
        <w:gridCol w:w="1080"/>
        <w:gridCol w:w="990"/>
        <w:gridCol w:w="1080"/>
      </w:tblGrid>
      <w:tr w:rsidR="00E30FC1" w:rsidRPr="009C4CF1" w:rsidTr="00E30FC1">
        <w:tc>
          <w:tcPr>
            <w:tcW w:w="1718" w:type="dxa"/>
            <w:vMerge w:val="restart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9010" w:type="dxa"/>
            <w:vMerge w:val="restart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 kỹ năng cần kiểm tra</w:t>
            </w:r>
          </w:p>
        </w:tc>
        <w:tc>
          <w:tcPr>
            <w:tcW w:w="2070" w:type="dxa"/>
            <w:gridSpan w:val="2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</w:t>
            </w:r>
          </w:p>
        </w:tc>
        <w:tc>
          <w:tcPr>
            <w:tcW w:w="1080" w:type="dxa"/>
            <w:vMerge w:val="restart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30FC1" w:rsidRPr="009C4CF1" w:rsidTr="00E30FC1">
        <w:tc>
          <w:tcPr>
            <w:tcW w:w="1718" w:type="dxa"/>
            <w:vMerge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vMerge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0" w:type="dxa"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80" w:type="dxa"/>
            <w:vMerge/>
          </w:tcPr>
          <w:p w:rsidR="00E30FC1" w:rsidRPr="009C4CF1" w:rsidRDefault="00E30FC1" w:rsidP="009C4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FC1" w:rsidRPr="009C4CF1" w:rsidTr="00E30FC1">
        <w:tc>
          <w:tcPr>
            <w:tcW w:w="1718" w:type="dxa"/>
          </w:tcPr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Cảm ứng ở động vật</w:t>
            </w:r>
          </w:p>
        </w:tc>
        <w:tc>
          <w:tcPr>
            <w:tcW w:w="9010" w:type="dxa"/>
          </w:tcPr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và vai trò của cảm ứng đối với động vật.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hình thức cảm ứng ở động vật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cấu tạo và chức năng của tế bào thần kinh. 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ra được các thành phần cấu tạo synapse. 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phản xạ.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thành phần của một cung phản xạ.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được các dạng HTK ở động vật, một số đại diện thường gặp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phản xạ không điều kiện và phản xạ có điều kiện</w:t>
            </w: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các hình thức cảm ứng ở các nhóm động vật khác nhau.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hệ thần kinh dạng ống với hệ thần kinh dạng  lưới và dạng chuỗi hạch.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Mô tả được quá trình truyền tin qua synapse.</w:t>
            </w:r>
          </w:p>
          <w:p w:rsidR="00E30FC1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phản xạ không điều kiện và phản xạ có điều kiện</w:t>
            </w:r>
          </w:p>
          <w:p w:rsidR="00D45B71" w:rsidRPr="009C4CF1" w:rsidRDefault="00D45B71" w:rsidP="009C4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D45B71" w:rsidRPr="009C4CF1" w:rsidRDefault="00D45B7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right="95" w:hanging="22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kiến thức giải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thích được hiện tượng 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khác liên quan đến bài học (</w:t>
            </w:r>
            <w:r w:rsidR="00473945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một số bệnh do tổn thương hệ thần kinh..., phân tích được sự thu nhận, dẫn truyền và đáp ứng ương trong cung phản xạ để trả lời,...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9C4CF1" w:rsidRDefault="009C4CF1" w:rsidP="009C4C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B71" w:rsidRPr="009C4CF1" w:rsidRDefault="00D45B71" w:rsidP="009C4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473945" w:rsidRPr="009C4CF1" w:rsidRDefault="00D45B71" w:rsidP="009C4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iải thích được hiện tượng 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phức tạp</w:t>
            </w:r>
            <w:r w:rsidR="00473945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(vận dụng hiểu biết về hệ thần kinh để giải thích được cơ chế giảm đau khi uống và tiêm thuốc giảm đau,...)</w:t>
            </w:r>
          </w:p>
          <w:p w:rsidR="00E30FC1" w:rsidRPr="009C4CF1" w:rsidRDefault="00473945" w:rsidP="009C4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Đề xuất được các biện pháp bảo vệ hệ thần kinh: không lạm dụng chất kích thích; phòng chống nghiện và cai nghiện các chất kích thích,...</w:t>
            </w:r>
          </w:p>
        </w:tc>
        <w:tc>
          <w:tcPr>
            <w:tcW w:w="1080" w:type="dxa"/>
          </w:tcPr>
          <w:p w:rsidR="00E30FC1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FC1" w:rsidRPr="009C4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EC3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F1" w:rsidRPr="009C4CF1" w:rsidRDefault="009C4CF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30FC1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.67đ</w:t>
            </w: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30FC1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E30FC1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F1" w:rsidRDefault="009C4CF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F1" w:rsidRPr="009C4CF1" w:rsidRDefault="009C4CF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E30FC1" w:rsidRPr="009C4CF1" w:rsidTr="00E30FC1">
        <w:trPr>
          <w:trHeight w:val="1340"/>
        </w:trPr>
        <w:tc>
          <w:tcPr>
            <w:tcW w:w="1718" w:type="dxa"/>
          </w:tcPr>
          <w:p w:rsidR="00473945" w:rsidRPr="009C4CF1" w:rsidRDefault="00473945" w:rsidP="009C4CF1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45" w:rsidRPr="009C4CF1" w:rsidRDefault="00473945" w:rsidP="009C4CF1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45" w:rsidRPr="009C4CF1" w:rsidRDefault="00473945" w:rsidP="009C4CF1">
            <w:pPr>
              <w:widowControl w:val="0"/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tính ở động vật</w:t>
            </w: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0" w:type="dxa"/>
          </w:tcPr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</w:p>
          <w:p w:rsidR="00135645" w:rsidRPr="009C4CF1" w:rsidRDefault="00E30FC1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35645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tập tính ở động vật.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một số dạng tập tính phổ biến.</w:t>
            </w:r>
          </w:p>
          <w:p w:rsidR="00135645" w:rsidRPr="009C4CF1" w:rsidRDefault="00135645" w:rsidP="009C4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loại tập tính ở động vật.</w:t>
            </w:r>
            <w:r w:rsidR="004547BD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ra được </w:t>
            </w:r>
            <w:r w:rsidR="004547BD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ví dụ có trong SGK và tài liệu </w:t>
            </w:r>
            <w:r w:rsidR="004547BD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được học </w:t>
            </w: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tập tính bẩm sinh và tập tính học được.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tập tính bẩm sinh.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tập tính học được.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Lấy được ví dụ minh hoạ về một số hình thức học tập ở động vật. </w:t>
            </w:r>
          </w:p>
          <w:p w:rsidR="004547BD" w:rsidRPr="009C4CF1" w:rsidRDefault="004547BD" w:rsidP="009C4CF1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Thông qua quan sát, mô tả được tập tính của một số động vật.</w:t>
            </w:r>
          </w:p>
          <w:p w:rsidR="00E30FC1" w:rsidRPr="009C4CF1" w:rsidRDefault="00474EC3" w:rsidP="009C4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E30FC1" w:rsidRPr="009C4CF1" w:rsidRDefault="00E30FC1" w:rsidP="009C4CF1">
            <w:pPr>
              <w:widowControl w:val="0"/>
              <w:autoSpaceDE w:val="0"/>
              <w:autoSpaceDN w:val="0"/>
              <w:adjustRightInd w:val="0"/>
              <w:ind w:left="100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iải thích được hiện tượng 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phức tạp</w:t>
            </w:r>
            <w:r w:rsidR="00134618"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="00134618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cơ chế học tập ở người,…</w:t>
            </w:r>
            <w:r w:rsidR="00134618"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47BD" w:rsidRPr="009C4CF1" w:rsidRDefault="00E30FC1" w:rsidP="009C4CF1">
            <w:pPr>
              <w:widowControl w:val="0"/>
              <w:autoSpaceDE w:val="0"/>
              <w:autoSpaceDN w:val="0"/>
              <w:adjustRightInd w:val="0"/>
              <w:ind w:left="100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Đề xuất, xây dựng kế hoạch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, thiết kế các mô hình, thí nghiệm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về ứng dụng 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bài học</w:t>
            </w:r>
            <w:r w:rsidR="004547BD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34618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547BD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ạy động vật làm xiếc, dạy trẻ em học tập, ứng dụng trong chăn nuôi,…)</w:t>
            </w:r>
          </w:p>
          <w:p w:rsidR="004547BD" w:rsidRPr="009C4CF1" w:rsidRDefault="004547BD" w:rsidP="009C4CF1">
            <w:pPr>
              <w:widowControl w:val="0"/>
              <w:autoSpaceDE w:val="0"/>
              <w:autoSpaceDN w:val="0"/>
              <w:adjustRightInd w:val="0"/>
              <w:ind w:left="100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30FC1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30FC1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CF1" w:rsidRDefault="009C4CF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474EC3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0.5đ</w:t>
            </w: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C1" w:rsidRPr="009C4CF1" w:rsidTr="00E30FC1">
        <w:tc>
          <w:tcPr>
            <w:tcW w:w="1718" w:type="dxa"/>
          </w:tcPr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618" w:rsidRPr="009C4CF1" w:rsidRDefault="00134618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618" w:rsidRPr="009C4CF1" w:rsidRDefault="00134618" w:rsidP="009C4CF1">
            <w:pPr>
              <w:widowControl w:val="0"/>
              <w:tabs>
                <w:tab w:val="left" w:pos="332"/>
              </w:tabs>
              <w:ind w:righ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Khái quát về sinh trưởng và phát triển ở sinh vật</w:t>
            </w:r>
          </w:p>
        </w:tc>
        <w:tc>
          <w:tcPr>
            <w:tcW w:w="9010" w:type="dxa"/>
          </w:tcPr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8C6970" w:rsidRPr="009C4CF1" w:rsidRDefault="008C6970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khái niệm sinh trưởng và phát triển ở sinh vật. </w:t>
            </w:r>
          </w:p>
          <w:p w:rsidR="00B10178" w:rsidRPr="009C4CF1" w:rsidRDefault="00B10178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Nhận ra được các dấu hiệu đặc trưng của sinh trưởng và phát triển.</w:t>
            </w:r>
          </w:p>
          <w:p w:rsidR="008C6970" w:rsidRPr="009C4CF1" w:rsidRDefault="008C6970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khái niệm vòng đời và tuổi thọ. </w:t>
            </w:r>
          </w:p>
          <w:p w:rsidR="008C6970" w:rsidRPr="009C4CF1" w:rsidRDefault="008C6970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Liệt kê được các yếu tố ảnh</w:t>
            </w:r>
            <w:r w:rsidR="00E700E0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hưởng </w:t>
            </w:r>
            <w:r w:rsidR="00B10178"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đến tuổi thọ con người.</w:t>
            </w:r>
          </w:p>
          <w:p w:rsidR="00E30FC1" w:rsidRPr="009C4CF1" w:rsidRDefault="00E30FC1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0178" w:rsidRPr="009C4CF1" w:rsidRDefault="00B10178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Lấy được ví dụ minh hoạ sinh trưởng và phát triển ở sinh vật. </w:t>
            </w:r>
          </w:p>
          <w:p w:rsidR="00B10178" w:rsidRPr="009C4CF1" w:rsidRDefault="00B10178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một số yếu tố ảnh hưởng đến tuổi thọ của con người. Lấy được ví dụ minh hoạ về tuổi thọ sinh vật.</w:t>
            </w:r>
          </w:p>
          <w:p w:rsidR="00474EC3" w:rsidRPr="009C4CF1" w:rsidRDefault="00474EC3" w:rsidP="009C4CF1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mối quan hệ giữa sinh trưởng và phát triển ở sinh vật. </w:t>
            </w:r>
          </w:p>
          <w:p w:rsidR="00474EC3" w:rsidRPr="009C4CF1" w:rsidRDefault="00474EC3" w:rsidP="009C4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:rsidR="00E30FC1" w:rsidRPr="009C4CF1" w:rsidRDefault="00474EC3" w:rsidP="009C4CF1">
            <w:pPr>
              <w:widowControl w:val="0"/>
              <w:tabs>
                <w:tab w:val="left" w:pos="33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thích được hiện tượng 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khác liên quan đến bài học (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>vòng đời của sinh vật, một số ứng dụng hiểu biết về vòng đời của sinh vật trong thực tiễn. ..</w:t>
            </w:r>
            <w:r w:rsidRPr="009C4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9C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30FC1" w:rsidRPr="009C4CF1" w:rsidRDefault="00B34C06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F1" w:rsidRDefault="009C4CF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4C06"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,33</w:t>
            </w: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0.67đ</w:t>
            </w:r>
          </w:p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C3" w:rsidRPr="009C4CF1" w:rsidRDefault="00474EC3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E30FC1" w:rsidRPr="009C4CF1" w:rsidTr="00E30FC1">
        <w:tc>
          <w:tcPr>
            <w:tcW w:w="1718" w:type="dxa"/>
          </w:tcPr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618" w:rsidRPr="009C4CF1" w:rsidRDefault="00134618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0" w:type="dxa"/>
          </w:tcPr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câu</w:t>
            </w:r>
          </w:p>
        </w:tc>
        <w:tc>
          <w:tcPr>
            <w:tcW w:w="990" w:type="dxa"/>
          </w:tcPr>
          <w:p w:rsidR="00E30FC1" w:rsidRPr="009C4CF1" w:rsidRDefault="00E30FC1" w:rsidP="009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080" w:type="dxa"/>
          </w:tcPr>
          <w:p w:rsidR="00E30FC1" w:rsidRPr="009C4CF1" w:rsidRDefault="00E30FC1" w:rsidP="009C4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FA5BEB" w:rsidRPr="009C4CF1" w:rsidRDefault="00FA5BEB" w:rsidP="009C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BEB" w:rsidRPr="009C4CF1" w:rsidSect="00753FB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5D1"/>
    <w:multiLevelType w:val="multilevel"/>
    <w:tmpl w:val="C02033E4"/>
    <w:lvl w:ilvl="0">
      <w:start w:val="1"/>
      <w:numFmt w:val="bullet"/>
      <w:lvlText w:val="−"/>
      <w:lvlJc w:val="left"/>
      <w:pPr>
        <w:ind w:left="10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">
    <w:nsid w:val="4CC85D61"/>
    <w:multiLevelType w:val="multilevel"/>
    <w:tmpl w:val="5378835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">
    <w:nsid w:val="53F35EA2"/>
    <w:multiLevelType w:val="multilevel"/>
    <w:tmpl w:val="65085986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4">
    <w:nsid w:val="624D6BEC"/>
    <w:multiLevelType w:val="multilevel"/>
    <w:tmpl w:val="118EB98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">
    <w:nsid w:val="6BE61A3C"/>
    <w:multiLevelType w:val="multilevel"/>
    <w:tmpl w:val="5724616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6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7">
    <w:nsid w:val="73530A42"/>
    <w:multiLevelType w:val="multilevel"/>
    <w:tmpl w:val="50926A94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B"/>
    <w:rsid w:val="00011408"/>
    <w:rsid w:val="000F3388"/>
    <w:rsid w:val="00134618"/>
    <w:rsid w:val="00135645"/>
    <w:rsid w:val="001A0C76"/>
    <w:rsid w:val="00217FC4"/>
    <w:rsid w:val="00245332"/>
    <w:rsid w:val="00281F55"/>
    <w:rsid w:val="00324FE1"/>
    <w:rsid w:val="003312B7"/>
    <w:rsid w:val="003E2F99"/>
    <w:rsid w:val="004273D0"/>
    <w:rsid w:val="004547BD"/>
    <w:rsid w:val="00473945"/>
    <w:rsid w:val="00474EC3"/>
    <w:rsid w:val="00476470"/>
    <w:rsid w:val="00502BE2"/>
    <w:rsid w:val="00543990"/>
    <w:rsid w:val="00595168"/>
    <w:rsid w:val="005E3C0A"/>
    <w:rsid w:val="006414E8"/>
    <w:rsid w:val="00655CC6"/>
    <w:rsid w:val="006F2B6E"/>
    <w:rsid w:val="00753FBE"/>
    <w:rsid w:val="00755660"/>
    <w:rsid w:val="007B5944"/>
    <w:rsid w:val="007F506A"/>
    <w:rsid w:val="00830B5C"/>
    <w:rsid w:val="008C5D77"/>
    <w:rsid w:val="008C6970"/>
    <w:rsid w:val="008E27B5"/>
    <w:rsid w:val="009577E1"/>
    <w:rsid w:val="009C4CF1"/>
    <w:rsid w:val="009F675A"/>
    <w:rsid w:val="00A24A2A"/>
    <w:rsid w:val="00AE2A1D"/>
    <w:rsid w:val="00B0641B"/>
    <w:rsid w:val="00B10178"/>
    <w:rsid w:val="00B34C06"/>
    <w:rsid w:val="00B75B85"/>
    <w:rsid w:val="00CB767D"/>
    <w:rsid w:val="00CE1ADA"/>
    <w:rsid w:val="00D3659B"/>
    <w:rsid w:val="00D45B71"/>
    <w:rsid w:val="00E30FC1"/>
    <w:rsid w:val="00E65E5C"/>
    <w:rsid w:val="00E700E0"/>
    <w:rsid w:val="00EF7F6F"/>
    <w:rsid w:val="00F050EC"/>
    <w:rsid w:val="00F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2024-02-15T08:41:00Z</dcterms:created>
  <dcterms:modified xsi:type="dcterms:W3CDTF">2024-02-22T01:10:00Z</dcterms:modified>
</cp:coreProperties>
</file>